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9F7D22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ED2BEA"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>О бюджете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F7D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9F7D2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>.12.202</w:t>
      </w:r>
      <w:r w:rsidR="009F7D22">
        <w:rPr>
          <w:rFonts w:ascii="Arial" w:hAnsi="Arial" w:cs="Arial"/>
        </w:rPr>
        <w:t>5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9F7D22">
        <w:rPr>
          <w:rFonts w:ascii="Arial" w:hAnsi="Arial" w:cs="Arial"/>
        </w:rPr>
        <w:t>716</w:t>
      </w:r>
    </w:p>
    <w:p w:rsidR="00F3362B" w:rsidRDefault="00034A28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CF1F7F">
        <w:rPr>
          <w:rFonts w:ascii="Arial" w:hAnsi="Arial" w:cs="Arial"/>
        </w:rPr>
        <w:t>;</w:t>
      </w:r>
    </w:p>
    <w:p w:rsidR="00CA15DC" w:rsidRDefault="00CF1F7F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 №760</w:t>
      </w:r>
      <w:r w:rsidR="00CA15DC">
        <w:rPr>
          <w:rFonts w:ascii="Arial" w:hAnsi="Arial" w:cs="Arial"/>
        </w:rPr>
        <w:t>,</w:t>
      </w:r>
    </w:p>
    <w:p w:rsidR="00AB5738" w:rsidRDefault="00CA15DC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AB5738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AB5738">
        <w:rPr>
          <w:rFonts w:ascii="Arial" w:hAnsi="Arial" w:cs="Arial"/>
        </w:rPr>
        <w:t>,</w:t>
      </w:r>
    </w:p>
    <w:p w:rsidR="00500CC1" w:rsidRDefault="00AB5738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500CC1">
        <w:rPr>
          <w:rFonts w:ascii="Arial" w:hAnsi="Arial" w:cs="Arial"/>
        </w:rPr>
        <w:t>,</w:t>
      </w:r>
    </w:p>
    <w:p w:rsidR="00034A28" w:rsidRDefault="00500CC1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№794</w:t>
      </w:r>
      <w:bookmarkStart w:id="0" w:name="_GoBack"/>
      <w:bookmarkEnd w:id="0"/>
      <w:r w:rsidR="00034A28">
        <w:rPr>
          <w:rFonts w:ascii="Arial" w:hAnsi="Arial" w:cs="Arial"/>
        </w:rPr>
        <w:t>)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9F7D22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9F7D22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9F7D22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D2BEA" w:rsidRDefault="00FC0CE2" w:rsidP="004952DA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984"/>
        <w:gridCol w:w="1021"/>
        <w:gridCol w:w="1673"/>
        <w:gridCol w:w="1701"/>
        <w:gridCol w:w="1701"/>
      </w:tblGrid>
      <w:tr w:rsidR="00500CC1" w:rsidRPr="005453D5" w:rsidTr="009E6AF3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500CC1" w:rsidRPr="005453D5" w:rsidTr="009E6AF3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center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637 166,4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596 582,6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596 692,6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51 395,5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286 664,6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организации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местного самоуправления в городском округе город Арзамас Нижегородской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112 783,8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93 353,6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56 953,2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43 240,9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национальной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164 826,3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стихийных бедствий природного 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138 326,4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Устройство на участках уличной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494 130,4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273 410,5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196 651,4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государственных праздников и общественно значимых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"Использование и охрана земель на территории городского округа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414 174,3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204 920,7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389 224,7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139 283,6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33 913,2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249 941,1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113 233,6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21 923,8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21 923,8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55 382,6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Содержание и обеспечение деятельности АНО "Агентство гостеприимства 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738 069,5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259 638,8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04.6.6Е.S748V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163 149,6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108 171,9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14 003,9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актуализации схем теплоснабжения городского округа город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содержание объектов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30 118,6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6 637,4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321 254,8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268 284,1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16 724,2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69 366,5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8 663,0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63 843,3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46 372,7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94 701,3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мероприятий по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16 784,1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объектов благоустройства дворовых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грантов на награждение победителей смотра-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77.7.03.74800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49 004,0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Лабораторная оценка проб природных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4 559 231,3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противопожарных мероприятий в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2 688 891,9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2 645 229,9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2 639 427,5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начального общего, основного общего, среднего общего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средств фонда на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329 655,9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34 075,7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Подпрограмма 5. "Профилактика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34 030,7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33 546,7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237 039,0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221 593,5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83 769,0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11 153,2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обеспечению деятельности советников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58 724,0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оздоровление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13 888,4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35 960,3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790 908,6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692 041,0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543 546,5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57 316,7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260 368,2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7 292,0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2 172,6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98 867,6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услуг финансово - экономического обслуживания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281 751,4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107 021,3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ежемесячной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136 062,2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9 822,3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9 822,3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303 406,4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169 915,3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453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2 993,1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6 464,0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средств фонда на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A05C8D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4FE6">
              <w:rPr>
                <w:rFonts w:ascii="Arial" w:hAnsi="Arial" w:cs="Arial"/>
                <w:b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b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2210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77.7.06.</w:t>
            </w:r>
            <w:r w:rsidRPr="00354FE6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354FE6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354FE6" w:rsidRDefault="00500CC1" w:rsidP="009E6AF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1 687,8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104 186,7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104 095,2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дополнительного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23 318,2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lastRenderedPageBreak/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9 635,7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453D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500CC1" w:rsidRPr="005453D5" w:rsidTr="009E6AF3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C1" w:rsidRPr="005453D5" w:rsidRDefault="00500CC1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500CC1" w:rsidRDefault="00500CC1" w:rsidP="004952DA">
      <w:pPr>
        <w:jc w:val="right"/>
        <w:rPr>
          <w:rFonts w:ascii="Arial" w:hAnsi="Arial" w:cs="Arial"/>
          <w:bCs/>
        </w:rPr>
      </w:pPr>
    </w:p>
    <w:p w:rsidR="00500CC1" w:rsidRDefault="00500CC1" w:rsidP="004952DA">
      <w:pPr>
        <w:jc w:val="right"/>
        <w:rPr>
          <w:rFonts w:ascii="Arial" w:hAnsi="Arial" w:cs="Arial"/>
        </w:rPr>
      </w:pPr>
    </w:p>
    <w:p w:rsidR="00471378" w:rsidRDefault="00471378" w:rsidP="009F7D22">
      <w:pPr>
        <w:widowControl w:val="0"/>
        <w:rPr>
          <w:rFonts w:ascii="Arial" w:hAnsi="Arial" w:cs="Arial"/>
        </w:rPr>
      </w:pPr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34A28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C5EC0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0CC1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9F7D22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5738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15DC"/>
    <w:rsid w:val="00CA3243"/>
    <w:rsid w:val="00CA7D28"/>
    <w:rsid w:val="00CB2846"/>
    <w:rsid w:val="00CC3613"/>
    <w:rsid w:val="00CD7381"/>
    <w:rsid w:val="00CE068D"/>
    <w:rsid w:val="00CE588D"/>
    <w:rsid w:val="00CF1F7F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3362B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C9EE-D5BC-478B-8A82-6406E1F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034A28"/>
  </w:style>
  <w:style w:type="paragraph" w:customStyle="1" w:styleId="xl114">
    <w:name w:val="xl11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34A2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34A2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34A2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34A2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34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34A28"/>
  </w:style>
  <w:style w:type="numbering" w:customStyle="1" w:styleId="73">
    <w:name w:val="Нет списка7"/>
    <w:next w:val="a3"/>
    <w:uiPriority w:val="99"/>
    <w:semiHidden/>
    <w:unhideWhenUsed/>
    <w:rsid w:val="00034A28"/>
  </w:style>
  <w:style w:type="numbering" w:customStyle="1" w:styleId="83">
    <w:name w:val="Нет списка8"/>
    <w:next w:val="a3"/>
    <w:uiPriority w:val="99"/>
    <w:semiHidden/>
    <w:unhideWhenUsed/>
    <w:rsid w:val="00034A28"/>
  </w:style>
  <w:style w:type="numbering" w:customStyle="1" w:styleId="91">
    <w:name w:val="Нет списка9"/>
    <w:next w:val="a3"/>
    <w:uiPriority w:val="99"/>
    <w:semiHidden/>
    <w:unhideWhenUsed/>
    <w:rsid w:val="00034A28"/>
  </w:style>
  <w:style w:type="numbering" w:customStyle="1" w:styleId="101">
    <w:name w:val="Нет списка10"/>
    <w:next w:val="a3"/>
    <w:uiPriority w:val="99"/>
    <w:semiHidden/>
    <w:unhideWhenUsed/>
    <w:rsid w:val="00034A28"/>
  </w:style>
  <w:style w:type="numbering" w:customStyle="1" w:styleId="132">
    <w:name w:val="Нет списка13"/>
    <w:next w:val="a3"/>
    <w:uiPriority w:val="99"/>
    <w:semiHidden/>
    <w:unhideWhenUsed/>
    <w:rsid w:val="00034A28"/>
  </w:style>
  <w:style w:type="numbering" w:customStyle="1" w:styleId="141">
    <w:name w:val="Нет списка14"/>
    <w:next w:val="a3"/>
    <w:uiPriority w:val="99"/>
    <w:semiHidden/>
    <w:unhideWhenUsed/>
    <w:rsid w:val="00034A28"/>
  </w:style>
  <w:style w:type="numbering" w:customStyle="1" w:styleId="151">
    <w:name w:val="Нет списка15"/>
    <w:next w:val="a3"/>
    <w:uiPriority w:val="99"/>
    <w:semiHidden/>
    <w:unhideWhenUsed/>
    <w:rsid w:val="00034A28"/>
  </w:style>
  <w:style w:type="table" w:customStyle="1" w:styleId="44">
    <w:name w:val="Сетка таблицы4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34A28"/>
  </w:style>
  <w:style w:type="numbering" w:customStyle="1" w:styleId="171">
    <w:name w:val="Нет списка17"/>
    <w:next w:val="a3"/>
    <w:uiPriority w:val="99"/>
    <w:semiHidden/>
    <w:rsid w:val="00034A28"/>
  </w:style>
  <w:style w:type="table" w:customStyle="1" w:styleId="64">
    <w:name w:val="Сетка таблицы6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34A28"/>
  </w:style>
  <w:style w:type="numbering" w:customStyle="1" w:styleId="411">
    <w:name w:val="Нет списка41"/>
    <w:next w:val="a3"/>
    <w:uiPriority w:val="99"/>
    <w:semiHidden/>
    <w:unhideWhenUsed/>
    <w:rsid w:val="00034A28"/>
  </w:style>
  <w:style w:type="numbering" w:customStyle="1" w:styleId="511">
    <w:name w:val="Нет списка51"/>
    <w:next w:val="a3"/>
    <w:semiHidden/>
    <w:rsid w:val="00034A28"/>
  </w:style>
  <w:style w:type="table" w:customStyle="1" w:styleId="221">
    <w:name w:val="Сетка таблицы2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34A28"/>
  </w:style>
  <w:style w:type="numbering" w:customStyle="1" w:styleId="710">
    <w:name w:val="Нет списка71"/>
    <w:next w:val="a3"/>
    <w:uiPriority w:val="99"/>
    <w:semiHidden/>
    <w:unhideWhenUsed/>
    <w:rsid w:val="00034A28"/>
  </w:style>
  <w:style w:type="numbering" w:customStyle="1" w:styleId="810">
    <w:name w:val="Нет списка81"/>
    <w:next w:val="a3"/>
    <w:uiPriority w:val="99"/>
    <w:semiHidden/>
    <w:unhideWhenUsed/>
    <w:rsid w:val="00034A28"/>
  </w:style>
  <w:style w:type="numbering" w:customStyle="1" w:styleId="910">
    <w:name w:val="Нет списка91"/>
    <w:next w:val="a3"/>
    <w:uiPriority w:val="99"/>
    <w:semiHidden/>
    <w:unhideWhenUsed/>
    <w:rsid w:val="00034A28"/>
  </w:style>
  <w:style w:type="numbering" w:customStyle="1" w:styleId="1010">
    <w:name w:val="Нет списка101"/>
    <w:next w:val="a3"/>
    <w:uiPriority w:val="99"/>
    <w:semiHidden/>
    <w:unhideWhenUsed/>
    <w:rsid w:val="00034A28"/>
  </w:style>
  <w:style w:type="numbering" w:customStyle="1" w:styleId="1210">
    <w:name w:val="Нет списка121"/>
    <w:next w:val="a3"/>
    <w:semiHidden/>
    <w:rsid w:val="00034A28"/>
  </w:style>
  <w:style w:type="table" w:customStyle="1" w:styleId="320">
    <w:name w:val="Сетка таблицы3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34A28"/>
  </w:style>
  <w:style w:type="numbering" w:customStyle="1" w:styleId="1410">
    <w:name w:val="Нет списка141"/>
    <w:next w:val="a3"/>
    <w:uiPriority w:val="99"/>
    <w:semiHidden/>
    <w:unhideWhenUsed/>
    <w:rsid w:val="00034A28"/>
  </w:style>
  <w:style w:type="numbering" w:customStyle="1" w:styleId="1510">
    <w:name w:val="Нет списка151"/>
    <w:next w:val="a3"/>
    <w:uiPriority w:val="99"/>
    <w:semiHidden/>
    <w:unhideWhenUsed/>
    <w:rsid w:val="00034A28"/>
  </w:style>
  <w:style w:type="table" w:customStyle="1" w:styleId="412">
    <w:name w:val="Сетка таблицы41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34A28"/>
  </w:style>
  <w:style w:type="numbering" w:customStyle="1" w:styleId="191">
    <w:name w:val="Нет списка19"/>
    <w:next w:val="a3"/>
    <w:semiHidden/>
    <w:unhideWhenUsed/>
    <w:rsid w:val="00034A28"/>
  </w:style>
  <w:style w:type="table" w:customStyle="1" w:styleId="74">
    <w:name w:val="Сетка таблицы7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34A28"/>
  </w:style>
  <w:style w:type="numbering" w:customStyle="1" w:styleId="1100">
    <w:name w:val="Нет списка110"/>
    <w:next w:val="a3"/>
    <w:semiHidden/>
    <w:unhideWhenUsed/>
    <w:rsid w:val="00034A28"/>
  </w:style>
  <w:style w:type="table" w:customStyle="1" w:styleId="84">
    <w:name w:val="Сетка таблицы8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34A28"/>
  </w:style>
  <w:style w:type="numbering" w:customStyle="1" w:styleId="1130">
    <w:name w:val="Нет списка113"/>
    <w:next w:val="a3"/>
    <w:semiHidden/>
    <w:unhideWhenUsed/>
    <w:rsid w:val="00034A28"/>
  </w:style>
  <w:style w:type="numbering" w:customStyle="1" w:styleId="240">
    <w:name w:val="Нет списка24"/>
    <w:next w:val="a3"/>
    <w:uiPriority w:val="99"/>
    <w:semiHidden/>
    <w:unhideWhenUsed/>
    <w:rsid w:val="00034A28"/>
  </w:style>
  <w:style w:type="numbering" w:customStyle="1" w:styleId="250">
    <w:name w:val="Нет списка25"/>
    <w:next w:val="a3"/>
    <w:semiHidden/>
    <w:rsid w:val="00034A28"/>
  </w:style>
  <w:style w:type="numbering" w:customStyle="1" w:styleId="1140">
    <w:name w:val="Нет списка114"/>
    <w:next w:val="a3"/>
    <w:semiHidden/>
    <w:unhideWhenUsed/>
    <w:rsid w:val="00034A28"/>
  </w:style>
  <w:style w:type="table" w:customStyle="1" w:styleId="92">
    <w:name w:val="Сетка таблицы9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034A28"/>
  </w:style>
  <w:style w:type="numbering" w:customStyle="1" w:styleId="115">
    <w:name w:val="Нет списка115"/>
    <w:next w:val="a3"/>
    <w:semiHidden/>
    <w:unhideWhenUsed/>
    <w:rsid w:val="00034A28"/>
  </w:style>
  <w:style w:type="numbering" w:customStyle="1" w:styleId="270">
    <w:name w:val="Нет списка27"/>
    <w:next w:val="a3"/>
    <w:semiHidden/>
    <w:unhideWhenUsed/>
    <w:rsid w:val="00034A28"/>
  </w:style>
  <w:style w:type="numbering" w:customStyle="1" w:styleId="116">
    <w:name w:val="Нет списка116"/>
    <w:next w:val="a3"/>
    <w:semiHidden/>
    <w:unhideWhenUsed/>
    <w:rsid w:val="00034A28"/>
  </w:style>
  <w:style w:type="table" w:customStyle="1" w:styleId="102">
    <w:name w:val="Сетка таблицы10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034A28"/>
  </w:style>
  <w:style w:type="numbering" w:customStyle="1" w:styleId="117">
    <w:name w:val="Нет списка117"/>
    <w:next w:val="a3"/>
    <w:semiHidden/>
    <w:unhideWhenUsed/>
    <w:rsid w:val="0003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0A87-AB82-43EB-AA32-EB030A8F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109</Pages>
  <Words>23827</Words>
  <Characters>135817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11</cp:revision>
  <cp:lastPrinted>2023-11-15T04:01:00Z</cp:lastPrinted>
  <dcterms:created xsi:type="dcterms:W3CDTF">2024-01-18T04:33:00Z</dcterms:created>
  <dcterms:modified xsi:type="dcterms:W3CDTF">2026-06-09T12:01:00Z</dcterms:modified>
</cp:coreProperties>
</file>